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
      <w:pPr>
        <w:keepLines/>
        <w:widowControl w:val="0"/>
        <w:tabs>
          <w:tab w:val="left" w:pos="392"/>
        </w:tabs>
        <w:overflowPunct/>
        <w:spacing w:after="0"/>
        <w:ind w:left="117" w:right="111"/>
        <w:jc w:val="center"/>
        <w:textAlignment w:val="auto"/>
        <w:rPr>
          <w:rFonts w:ascii="Arial" w:hAnsi="Arial"/>
          <w:sz w:val="24"/>
          <w:szCs w:val="24"/>
        </w:rPr>
      </w:pPr>
      <w:r>
        <w:rPr>
          <w:rFonts w:ascii="Arial" w:hAnsi="Arial"/>
          <w:noProof/>
          <w:sz w:val="24"/>
          <w:szCs w:val="24"/>
        </w:rPr>
        <w:drawing>
          <wp:inline distT="0" distB="0" distL="0" distR="0">
            <wp:extent cx="1666875" cy="11811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66875" cy="1181100"/>
                    </a:xfrm>
                    <a:prstGeom prst="rect">
                      <a:avLst/>
                    </a:prstGeom>
                    <a:noFill/>
                    <a:ln>
                      <a:noFill/>
                    </a:ln>
                  </pic:spPr>
                </pic:pic>
              </a:graphicData>
            </a:graphic>
          </wp:inline>
        </w:drawing>
      </w:r>
      <w:r>
        <w:rPr>
          <w:rFonts w:ascii="Arial" w:hAnsi="Arial"/>
          <w:noProof/>
          <w:sz w:val="24"/>
          <w:szCs w:val="24"/>
        </w:rPr>
        <w:drawing>
          <wp:inline distT="0" distB="0" distL="0" distR="0">
            <wp:extent cx="1200150" cy="122872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00150" cy="1228725"/>
                    </a:xfrm>
                    <a:prstGeom prst="rect">
                      <a:avLst/>
                    </a:prstGeom>
                    <a:noFill/>
                    <a:ln>
                      <a:noFill/>
                    </a:ln>
                  </pic:spPr>
                </pic:pic>
              </a:graphicData>
            </a:graphic>
          </wp:inline>
        </w:drawing>
      </w:r>
    </w:p>
    <w:p>
      <w:pPr>
        <w:keepLines/>
        <w:widowControl w:val="0"/>
        <w:tabs>
          <w:tab w:val="left" w:pos="392"/>
        </w:tabs>
        <w:overflowPunct/>
        <w:spacing w:after="0"/>
        <w:ind w:left="117" w:right="111"/>
        <w:textAlignment w:val="auto"/>
        <w:rPr>
          <w:rFonts w:ascii="Arial" w:hAnsi="Arial"/>
          <w:color w:val="000000"/>
          <w:sz w:val="16"/>
          <w:szCs w:val="16"/>
        </w:rPr>
      </w:pPr>
    </w:p>
    <w:tbl>
      <w:tblPr>
        <w:tblW w:w="0" w:type="auto"/>
        <w:tblInd w:w="9" w:type="dxa"/>
        <w:tblLayout w:type="fixed"/>
        <w:tblCellMar>
          <w:left w:w="0" w:type="dxa"/>
          <w:right w:w="0" w:type="dxa"/>
        </w:tblCellMar>
        <w:tblLook w:val="0000" w:firstRow="0" w:lastRow="0" w:firstColumn="0" w:lastColumn="0" w:noHBand="0" w:noVBand="0"/>
      </w:tblPr>
      <w:tblGrid>
        <w:gridCol w:w="4644"/>
        <w:gridCol w:w="4577"/>
      </w:tblGrid>
      <w:tr>
        <w:tc>
          <w:tcPr>
            <w:tcW w:w="4644" w:type="dxa"/>
            <w:tcBorders>
              <w:top w:val="nil"/>
              <w:left w:val="nil"/>
              <w:bottom w:val="nil"/>
              <w:right w:val="nil"/>
            </w:tcBorders>
            <w:shd w:val="clear" w:color="auto" w:fill="595959"/>
            <w:vAlign w:val="center"/>
          </w:tcPr>
          <w:p>
            <w:pPr>
              <w:widowControl w:val="0"/>
              <w:overflowPunct/>
              <w:spacing w:after="0"/>
              <w:ind w:left="108" w:right="104"/>
              <w:jc w:val="left"/>
              <w:textAlignment w:val="auto"/>
              <w:rPr>
                <w:rFonts w:ascii="Arial" w:hAnsi="Arial"/>
                <w:color w:val="FFFFFF"/>
                <w:sz w:val="28"/>
                <w:szCs w:val="28"/>
              </w:rPr>
            </w:pPr>
            <w:r>
              <w:rPr>
                <w:rFonts w:ascii="Arial" w:hAnsi="Arial"/>
                <w:color w:val="FFFFFF"/>
                <w:sz w:val="28"/>
                <w:szCs w:val="28"/>
              </w:rPr>
              <w:t>Centre hospitalier de Versailles</w:t>
            </w:r>
          </w:p>
          <w:p>
            <w:pPr>
              <w:widowControl w:val="0"/>
              <w:overflowPunct/>
              <w:spacing w:after="0"/>
              <w:ind w:left="108" w:right="104"/>
              <w:jc w:val="left"/>
              <w:textAlignment w:val="auto"/>
              <w:rPr>
                <w:rFonts w:ascii="Arial" w:hAnsi="Arial"/>
                <w:sz w:val="24"/>
                <w:szCs w:val="24"/>
              </w:rPr>
            </w:pPr>
            <w:r>
              <w:rPr>
                <w:rFonts w:ascii="Arial" w:hAnsi="Arial"/>
                <w:color w:val="FFFFFF"/>
                <w:szCs w:val="22"/>
              </w:rPr>
              <w:t>Cellule Commande Publique GHT 78 Sud</w:t>
            </w:r>
          </w:p>
        </w:tc>
        <w:tc>
          <w:tcPr>
            <w:tcW w:w="4577" w:type="dxa"/>
            <w:tcBorders>
              <w:top w:val="nil"/>
              <w:left w:val="nil"/>
              <w:bottom w:val="nil"/>
              <w:right w:val="nil"/>
            </w:tcBorders>
            <w:shd w:val="clear" w:color="auto" w:fill="D9D9D9"/>
            <w:vAlign w:val="center"/>
          </w:tcPr>
          <w:p>
            <w:pPr>
              <w:widowControl w:val="0"/>
              <w:overflowPunct/>
              <w:spacing w:after="0"/>
              <w:ind w:left="112" w:right="87"/>
              <w:jc w:val="right"/>
              <w:textAlignment w:val="auto"/>
              <w:rPr>
                <w:rFonts w:ascii="Arial" w:hAnsi="Arial"/>
                <w:color w:val="000000"/>
                <w:sz w:val="28"/>
                <w:szCs w:val="28"/>
              </w:rPr>
            </w:pPr>
          </w:p>
          <w:p>
            <w:pPr>
              <w:widowControl w:val="0"/>
              <w:overflowPunct/>
              <w:spacing w:after="0"/>
              <w:ind w:left="112" w:right="87"/>
              <w:jc w:val="right"/>
              <w:textAlignment w:val="auto"/>
              <w:rPr>
                <w:rFonts w:ascii="Arial" w:hAnsi="Arial"/>
                <w:b/>
                <w:bCs/>
                <w:color w:val="000000"/>
                <w:sz w:val="28"/>
                <w:szCs w:val="28"/>
              </w:rPr>
            </w:pPr>
            <w:r>
              <w:rPr>
                <w:rFonts w:ascii="Arial" w:hAnsi="Arial"/>
                <w:b/>
                <w:bCs/>
                <w:color w:val="000000"/>
                <w:sz w:val="28"/>
                <w:szCs w:val="28"/>
              </w:rPr>
              <w:t>ACCORD-CADRE</w:t>
            </w:r>
          </w:p>
          <w:p>
            <w:pPr>
              <w:widowControl w:val="0"/>
              <w:overflowPunct/>
              <w:spacing w:after="0"/>
              <w:ind w:left="112" w:right="87"/>
              <w:jc w:val="right"/>
              <w:textAlignment w:val="auto"/>
              <w:rPr>
                <w:rFonts w:ascii="Arial" w:hAnsi="Arial"/>
                <w:b/>
                <w:bCs/>
                <w:color w:val="000000"/>
                <w:sz w:val="28"/>
                <w:szCs w:val="28"/>
              </w:rPr>
            </w:pPr>
            <w:r>
              <w:rPr>
                <w:rFonts w:ascii="Arial" w:hAnsi="Arial"/>
                <w:b/>
                <w:bCs/>
                <w:color w:val="000000"/>
                <w:sz w:val="28"/>
                <w:szCs w:val="28"/>
              </w:rPr>
              <w:t>DE TRAVAUX</w:t>
            </w:r>
          </w:p>
          <w:p>
            <w:pPr>
              <w:widowControl w:val="0"/>
              <w:overflowPunct/>
              <w:spacing w:after="0"/>
              <w:ind w:left="112" w:right="87"/>
              <w:jc w:val="right"/>
              <w:textAlignment w:val="auto"/>
              <w:rPr>
                <w:rFonts w:ascii="Arial" w:hAnsi="Arial"/>
                <w:sz w:val="24"/>
                <w:szCs w:val="24"/>
              </w:rPr>
            </w:pPr>
          </w:p>
        </w:tc>
      </w:tr>
    </w:tbl>
    <w:p>
      <w:pPr>
        <w:widowControl w:val="0"/>
        <w:overflowPunct/>
        <w:spacing w:after="0"/>
        <w:ind w:left="117" w:right="111"/>
        <w:jc w:val="left"/>
        <w:textAlignment w:val="auto"/>
        <w:rPr>
          <w:rFonts w:ascii="Arial" w:hAnsi="Arial"/>
          <w:color w:val="000000"/>
          <w:sz w:val="20"/>
        </w:rPr>
      </w:pPr>
    </w:p>
    <w:p>
      <w:pPr>
        <w:widowControl w:val="0"/>
        <w:overflowPunct/>
        <w:spacing w:after="0"/>
        <w:ind w:left="117" w:right="111"/>
        <w:jc w:val="left"/>
        <w:textAlignment w:val="auto"/>
        <w:rPr>
          <w:rFonts w:ascii="Arial" w:hAnsi="Arial"/>
          <w:color w:val="000000"/>
          <w:sz w:val="20"/>
        </w:rPr>
      </w:pPr>
    </w:p>
    <w:p>
      <w:pPr>
        <w:widowControl w:val="0"/>
        <w:overflowPunct/>
        <w:spacing w:after="0"/>
        <w:ind w:left="117" w:right="111"/>
        <w:jc w:val="left"/>
        <w:textAlignment w:val="auto"/>
        <w:rPr>
          <w:rFonts w:ascii="Arial" w:hAnsi="Arial"/>
          <w:color w:val="000000"/>
          <w:sz w:val="20"/>
        </w:rPr>
      </w:pPr>
    </w:p>
    <w:p>
      <w:pPr>
        <w:widowControl w:val="0"/>
        <w:overflowPunct/>
        <w:spacing w:after="0"/>
        <w:ind w:left="117" w:right="111"/>
        <w:jc w:val="left"/>
        <w:textAlignment w:val="auto"/>
        <w:rPr>
          <w:rFonts w:ascii="Arial" w:hAnsi="Arial"/>
          <w:color w:val="000000"/>
          <w:sz w:val="20"/>
        </w:rPr>
      </w:pPr>
    </w:p>
    <w:p>
      <w:pPr>
        <w:widowControl w:val="0"/>
        <w:overflowPunct/>
        <w:spacing w:after="0"/>
        <w:ind w:left="117" w:right="111"/>
        <w:jc w:val="left"/>
        <w:textAlignment w:val="auto"/>
        <w:rPr>
          <w:rFonts w:ascii="Arial" w:hAnsi="Arial"/>
          <w:color w:val="000000"/>
          <w:sz w:val="20"/>
        </w:rPr>
      </w:pPr>
    </w:p>
    <w:tbl>
      <w:tblPr>
        <w:tblW w:w="0" w:type="auto"/>
        <w:tblInd w:w="9" w:type="dxa"/>
        <w:tblLayout w:type="fixed"/>
        <w:tblCellMar>
          <w:left w:w="0" w:type="dxa"/>
          <w:right w:w="0" w:type="dxa"/>
        </w:tblCellMar>
        <w:tblLook w:val="0000" w:firstRow="0" w:lastRow="0" w:firstColumn="0" w:lastColumn="0" w:noHBand="0" w:noVBand="0"/>
      </w:tblPr>
      <w:tblGrid>
        <w:gridCol w:w="2093"/>
        <w:gridCol w:w="236"/>
        <w:gridCol w:w="6872"/>
      </w:tblGrid>
      <w:tr>
        <w:tc>
          <w:tcPr>
            <w:tcW w:w="2093" w:type="dxa"/>
            <w:tcBorders>
              <w:top w:val="nil"/>
              <w:left w:val="nil"/>
              <w:bottom w:val="nil"/>
              <w:right w:val="single" w:sz="12" w:space="0" w:color="FF6600"/>
            </w:tcBorders>
            <w:shd w:val="clear" w:color="auto" w:fill="FFFFFF"/>
          </w:tcPr>
          <w:p>
            <w:pPr>
              <w:widowControl w:val="0"/>
              <w:overflowPunct/>
              <w:spacing w:after="0"/>
              <w:ind w:left="108" w:right="95"/>
              <w:jc w:val="left"/>
              <w:textAlignment w:val="auto"/>
              <w:rPr>
                <w:rFonts w:ascii="Arial" w:hAnsi="Arial"/>
                <w:sz w:val="24"/>
                <w:szCs w:val="24"/>
              </w:rPr>
            </w:pPr>
            <w:r>
              <w:rPr>
                <w:rFonts w:ascii="Arial" w:hAnsi="Arial"/>
                <w:color w:val="000000"/>
                <w:szCs w:val="22"/>
              </w:rPr>
              <w:t xml:space="preserve"> </w:t>
            </w:r>
          </w:p>
        </w:tc>
        <w:tc>
          <w:tcPr>
            <w:tcW w:w="236" w:type="dxa"/>
            <w:tcBorders>
              <w:top w:val="nil"/>
              <w:left w:val="single" w:sz="12" w:space="0" w:color="FF6600"/>
              <w:bottom w:val="nil"/>
              <w:right w:val="nil"/>
            </w:tcBorders>
            <w:shd w:val="clear" w:color="auto" w:fill="FFFFFF"/>
          </w:tcPr>
          <w:p>
            <w:pPr>
              <w:widowControl w:val="0"/>
              <w:overflowPunct/>
              <w:spacing w:after="0"/>
              <w:ind w:left="108" w:right="95"/>
              <w:jc w:val="left"/>
              <w:textAlignment w:val="auto"/>
              <w:rPr>
                <w:rFonts w:ascii="Arial" w:hAnsi="Arial"/>
                <w:sz w:val="24"/>
                <w:szCs w:val="24"/>
              </w:rPr>
            </w:pPr>
          </w:p>
        </w:tc>
        <w:tc>
          <w:tcPr>
            <w:tcW w:w="6872" w:type="dxa"/>
            <w:tcBorders>
              <w:top w:val="nil"/>
              <w:left w:val="nil"/>
              <w:bottom w:val="nil"/>
              <w:right w:val="nil"/>
            </w:tcBorders>
            <w:shd w:val="clear" w:color="auto" w:fill="FFFFFF"/>
          </w:tcPr>
          <w:p>
            <w:pPr>
              <w:widowControl w:val="0"/>
              <w:overflowPunct/>
              <w:spacing w:after="0"/>
              <w:ind w:left="18" w:right="87"/>
              <w:jc w:val="left"/>
              <w:textAlignment w:val="auto"/>
              <w:rPr>
                <w:rFonts w:ascii="Arial" w:hAnsi="Arial"/>
                <w:sz w:val="24"/>
                <w:szCs w:val="24"/>
              </w:rPr>
            </w:pPr>
            <w:r>
              <w:rPr>
                <w:rFonts w:ascii="Arial" w:hAnsi="Arial"/>
                <w:color w:val="404040"/>
                <w:sz w:val="44"/>
                <w:szCs w:val="44"/>
              </w:rPr>
              <w:t>Travaux d’entretien et d’aménagement des bâtiments des établissements du Groupement Hospitalier de Territoire Yvelines Sud (suite).</w:t>
            </w:r>
          </w:p>
        </w:tc>
      </w:tr>
    </w:tbl>
    <w:p>
      <w:pPr>
        <w:widowControl w:val="0"/>
        <w:overflowPunct/>
        <w:spacing w:after="0"/>
        <w:ind w:right="111"/>
        <w:jc w:val="left"/>
        <w:textAlignment w:val="auto"/>
        <w:rPr>
          <w:rFonts w:ascii="Arial" w:hAnsi="Arial"/>
          <w:color w:val="000000"/>
          <w:sz w:val="20"/>
        </w:rPr>
      </w:pPr>
    </w:p>
    <w:p>
      <w:pPr>
        <w:widowControl w:val="0"/>
        <w:overflowPunct/>
        <w:spacing w:after="0"/>
        <w:ind w:left="117" w:right="111"/>
        <w:jc w:val="left"/>
        <w:textAlignment w:val="auto"/>
        <w:rPr>
          <w:rFonts w:ascii="Arial" w:hAnsi="Arial"/>
          <w:color w:val="000000"/>
          <w:sz w:val="20"/>
        </w:rPr>
      </w:pPr>
    </w:p>
    <w:p>
      <w:pPr>
        <w:widowControl w:val="0"/>
        <w:overflowPunct/>
        <w:spacing w:after="0"/>
        <w:ind w:left="117" w:right="111"/>
        <w:jc w:val="left"/>
        <w:textAlignment w:val="auto"/>
        <w:rPr>
          <w:rFonts w:ascii="Arial" w:hAnsi="Arial"/>
          <w:color w:val="000000"/>
          <w:sz w:val="20"/>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tc>
          <w:tcPr>
            <w:tcW w:w="9212" w:type="dxa"/>
            <w:tcBorders>
              <w:top w:val="nil"/>
              <w:left w:val="nil"/>
              <w:bottom w:val="nil"/>
              <w:right w:val="nil"/>
            </w:tcBorders>
            <w:shd w:val="clear" w:color="auto" w:fill="595959"/>
          </w:tcPr>
          <w:p>
            <w:pPr>
              <w:widowControl w:val="0"/>
              <w:overflowPunct/>
              <w:spacing w:before="240" w:after="33"/>
              <w:ind w:left="108" w:right="96"/>
              <w:jc w:val="center"/>
              <w:textAlignment w:val="auto"/>
              <w:rPr>
                <w:rFonts w:ascii="Arial" w:hAnsi="Arial"/>
                <w:b/>
                <w:bCs/>
                <w:color w:val="FFFFFF"/>
                <w:sz w:val="40"/>
                <w:szCs w:val="40"/>
              </w:rPr>
            </w:pPr>
            <w:r>
              <w:rPr>
                <w:rFonts w:ascii="Arial" w:hAnsi="Arial"/>
                <w:b/>
                <w:bCs/>
                <w:color w:val="FFFFFF"/>
                <w:sz w:val="40"/>
                <w:szCs w:val="40"/>
              </w:rPr>
              <w:t xml:space="preserve">CADRE DE REPONSE TECHNIQUE </w:t>
            </w:r>
          </w:p>
          <w:p>
            <w:pPr>
              <w:widowControl w:val="0"/>
              <w:overflowPunct/>
              <w:spacing w:before="240" w:after="33"/>
              <w:ind w:left="108" w:right="96"/>
              <w:jc w:val="center"/>
              <w:textAlignment w:val="auto"/>
              <w:rPr>
                <w:rFonts w:ascii="Arial" w:hAnsi="Arial"/>
                <w:b/>
                <w:bCs/>
                <w:color w:val="FFFFFF"/>
                <w:sz w:val="40"/>
                <w:szCs w:val="40"/>
              </w:rPr>
            </w:pPr>
            <w:r>
              <w:rPr>
                <w:rFonts w:ascii="Arial" w:hAnsi="Arial"/>
                <w:b/>
                <w:bCs/>
                <w:color w:val="FFFFFF"/>
                <w:sz w:val="40"/>
                <w:szCs w:val="40"/>
              </w:rPr>
              <w:t>Gros œuvre, maçonnerie, cloisonnement</w:t>
            </w:r>
          </w:p>
          <w:p>
            <w:pPr>
              <w:widowControl w:val="0"/>
              <w:overflowPunct/>
              <w:spacing w:before="240" w:after="33"/>
              <w:ind w:left="108" w:right="96"/>
              <w:jc w:val="center"/>
              <w:textAlignment w:val="auto"/>
              <w:rPr>
                <w:rFonts w:ascii="Arial" w:hAnsi="Arial"/>
                <w:b/>
                <w:bCs/>
                <w:color w:val="FFFFFF"/>
                <w:sz w:val="40"/>
                <w:szCs w:val="40"/>
              </w:rPr>
            </w:pPr>
            <w:r>
              <w:rPr>
                <w:rFonts w:ascii="Arial" w:hAnsi="Arial"/>
                <w:b/>
                <w:bCs/>
                <w:color w:val="FFFFFF"/>
                <w:sz w:val="40"/>
                <w:szCs w:val="40"/>
              </w:rPr>
              <w:t>LOT 4 C</w:t>
            </w:r>
          </w:p>
        </w:tc>
      </w:tr>
    </w:tbl>
    <w:p>
      <w:pPr>
        <w:widowControl w:val="0"/>
        <w:overflowPunct/>
        <w:spacing w:after="0"/>
        <w:ind w:left="117" w:right="111"/>
        <w:jc w:val="left"/>
        <w:textAlignment w:val="auto"/>
        <w:rPr>
          <w:rFonts w:ascii="Arial" w:hAnsi="Arial"/>
          <w:color w:val="000000"/>
          <w:sz w:val="20"/>
        </w:rPr>
      </w:pPr>
    </w:p>
    <w:p>
      <w:pPr>
        <w:widowControl w:val="0"/>
        <w:overflowPunct/>
        <w:spacing w:after="0"/>
        <w:ind w:left="117" w:right="111"/>
        <w:jc w:val="left"/>
        <w:textAlignment w:val="auto"/>
        <w:rPr>
          <w:rFonts w:ascii="Arial" w:hAnsi="Arial"/>
          <w:color w:val="000000"/>
          <w:sz w:val="20"/>
        </w:rPr>
      </w:pPr>
    </w:p>
    <w:p>
      <w:pPr>
        <w:widowControl w:val="0"/>
        <w:overflowPunct/>
        <w:spacing w:after="0"/>
        <w:ind w:left="117" w:right="111"/>
        <w:jc w:val="left"/>
        <w:textAlignment w:val="auto"/>
        <w:rPr>
          <w:rFonts w:ascii="Arial" w:hAnsi="Arial"/>
          <w:color w:val="000000"/>
          <w:sz w:val="20"/>
        </w:rPr>
      </w:pPr>
    </w:p>
    <w:tbl>
      <w:tblPr>
        <w:tblW w:w="9183" w:type="dxa"/>
        <w:tblInd w:w="5" w:type="dxa"/>
        <w:tblLayout w:type="fixed"/>
        <w:tblCellMar>
          <w:left w:w="0" w:type="dxa"/>
          <w:right w:w="0" w:type="dxa"/>
        </w:tblCellMar>
        <w:tblLook w:val="0000" w:firstRow="0" w:lastRow="0" w:firstColumn="0" w:lastColumn="0" w:noHBand="0" w:noVBand="0"/>
      </w:tblPr>
      <w:tblGrid>
        <w:gridCol w:w="2814"/>
        <w:gridCol w:w="2548"/>
        <w:gridCol w:w="3821"/>
      </w:tblGrid>
      <w:tr>
        <w:tc>
          <w:tcPr>
            <w:tcW w:w="2814" w:type="dxa"/>
            <w:tcBorders>
              <w:top w:val="nil"/>
              <w:left w:val="nil"/>
              <w:bottom w:val="nil"/>
              <w:right w:val="nil"/>
            </w:tcBorders>
            <w:shd w:val="clear" w:color="auto" w:fill="FFFFFF"/>
          </w:tcPr>
          <w:p>
            <w:pPr>
              <w:widowControl w:val="0"/>
              <w:overflowPunct/>
              <w:spacing w:after="0"/>
              <w:ind w:left="117" w:right="111"/>
              <w:jc w:val="left"/>
              <w:textAlignment w:val="auto"/>
              <w:rPr>
                <w:rFonts w:ascii="Arial" w:hAnsi="Arial"/>
                <w:sz w:val="24"/>
                <w:szCs w:val="24"/>
              </w:rPr>
            </w:pPr>
          </w:p>
        </w:tc>
        <w:tc>
          <w:tcPr>
            <w:tcW w:w="2548" w:type="dxa"/>
            <w:tcBorders>
              <w:top w:val="nil"/>
              <w:left w:val="nil"/>
              <w:bottom w:val="nil"/>
              <w:right w:val="nil"/>
            </w:tcBorders>
            <w:shd w:val="clear" w:color="auto" w:fill="595959"/>
            <w:vAlign w:val="center"/>
          </w:tcPr>
          <w:p>
            <w:pPr>
              <w:widowControl w:val="0"/>
              <w:overflowPunct/>
              <w:spacing w:after="0"/>
              <w:ind w:left="122" w:right="86"/>
              <w:jc w:val="right"/>
              <w:textAlignment w:val="auto"/>
              <w:rPr>
                <w:rFonts w:ascii="Arial" w:hAnsi="Arial"/>
                <w:sz w:val="24"/>
                <w:szCs w:val="24"/>
              </w:rPr>
            </w:pPr>
            <w:r>
              <w:rPr>
                <w:rFonts w:ascii="Arial" w:hAnsi="Arial"/>
                <w:color w:val="FFFFFF"/>
                <w:sz w:val="28"/>
                <w:szCs w:val="28"/>
              </w:rPr>
              <w:t xml:space="preserve">Consultation n° </w:t>
            </w:r>
          </w:p>
        </w:tc>
        <w:tc>
          <w:tcPr>
            <w:tcW w:w="3821" w:type="dxa"/>
            <w:tcBorders>
              <w:top w:val="nil"/>
              <w:left w:val="nil"/>
              <w:bottom w:val="nil"/>
              <w:right w:val="nil"/>
            </w:tcBorders>
            <w:shd w:val="clear" w:color="auto" w:fill="D9D9D9"/>
            <w:vAlign w:val="center"/>
          </w:tcPr>
          <w:p>
            <w:pPr>
              <w:widowControl w:val="0"/>
              <w:overflowPunct/>
              <w:spacing w:before="60" w:after="60"/>
              <w:ind w:left="422" w:right="105"/>
              <w:jc w:val="left"/>
              <w:textAlignment w:val="auto"/>
              <w:rPr>
                <w:rFonts w:ascii="Arial" w:hAnsi="Arial"/>
                <w:sz w:val="24"/>
                <w:szCs w:val="24"/>
              </w:rPr>
            </w:pPr>
            <w:r>
              <w:rPr>
                <w:rFonts w:ascii="Arial" w:hAnsi="Arial"/>
                <w:color w:val="000000"/>
                <w:sz w:val="28"/>
                <w:szCs w:val="28"/>
              </w:rPr>
              <w:t>2025MB09</w:t>
            </w:r>
          </w:p>
        </w:tc>
      </w:tr>
    </w:tbl>
    <w:p>
      <w:pPr>
        <w:overflowPunct/>
        <w:autoSpaceDE/>
        <w:autoSpaceDN/>
        <w:adjustRightInd/>
        <w:spacing w:after="0" w:line="227" w:lineRule="auto"/>
        <w:ind w:left="17" w:hanging="3"/>
        <w:jc w:val="center"/>
        <w:textAlignment w:val="auto"/>
        <w:rPr>
          <w:rFonts w:asciiTheme="minorHAnsi" w:hAnsiTheme="minorHAnsi" w:cs="Times New Roman"/>
          <w:b/>
          <w:color w:val="000000"/>
          <w:szCs w:val="22"/>
        </w:rPr>
      </w:pPr>
      <w:r>
        <w:rPr>
          <w:rFonts w:asciiTheme="minorHAnsi" w:hAnsiTheme="minorHAnsi" w:cs="Times New Roman"/>
          <w:b/>
          <w:color w:val="000000"/>
          <w:szCs w:val="22"/>
        </w:rPr>
        <w:t>Procédure adaptée ouverte passée en application des dispositions des articles L.2123-1, R.2123-1 1° du Code de la Commande Publique</w:t>
      </w:r>
    </w:p>
    <w:p>
      <w:pPr>
        <w:overflowPunct/>
        <w:autoSpaceDE/>
        <w:autoSpaceDN/>
        <w:adjustRightInd/>
        <w:spacing w:after="0" w:line="227" w:lineRule="auto"/>
        <w:ind w:left="17" w:hanging="3"/>
        <w:jc w:val="center"/>
        <w:textAlignment w:val="auto"/>
        <w:rPr>
          <w:rFonts w:asciiTheme="minorHAnsi" w:hAnsiTheme="minorHAnsi" w:cs="Times New Roman"/>
          <w:b/>
          <w:color w:val="000000"/>
          <w:szCs w:val="22"/>
        </w:rPr>
      </w:pPr>
    </w:p>
    <w:p>
      <w:pPr>
        <w:rPr>
          <w:rFonts w:ascii="Arial" w:hAnsi="Arial"/>
          <w:b/>
          <w:bCs/>
          <w:szCs w:val="22"/>
        </w:rPr>
      </w:pPr>
    </w:p>
    <w:p>
      <w:pPr>
        <w:rPr>
          <w:rFonts w:ascii="Arial" w:hAnsi="Arial"/>
          <w:b/>
          <w:bCs/>
          <w:szCs w:val="22"/>
        </w:rPr>
      </w:pPr>
    </w:p>
    <w:p/>
    <w:p/>
    <w:p>
      <w:pPr>
        <w:pStyle w:val="Titre1"/>
      </w:pPr>
      <w:r>
        <w:t>Sous critère n°1 – Moyens humains (20 pages maxi)</w:t>
      </w:r>
    </w:p>
    <w:p/>
    <w:p>
      <w:r>
        <w:t>Le candidat décrit les moyens humains (personnel d'encadrement nommément désigné avec CV, personnel ouvrier et administratif) et l’organigramme de l’équipe affectée avec description du profil professionnel (expériences professionnelles, ancienneté dans le métier) et le rôle de chacun.</w:t>
      </w:r>
    </w:p>
    <w:p/>
    <w:p/>
    <w:p>
      <w:pPr>
        <w:pStyle w:val="Titre1"/>
        <w:rPr>
          <w:rFonts w:ascii="Arial Narrow" w:eastAsia="Times New Roman" w:hAnsi="Arial Narrow" w:cs="Arial"/>
          <w:b w:val="0"/>
          <w:bCs w:val="0"/>
          <w:color w:val="auto"/>
          <w:sz w:val="22"/>
          <w:szCs w:val="20"/>
        </w:rPr>
      </w:pPr>
    </w:p>
    <w:p/>
    <w:p/>
    <w:p/>
    <w:p/>
    <w:p/>
    <w:p/>
    <w:p/>
    <w:p/>
    <w:p/>
    <w:p/>
    <w:p/>
    <w:p/>
    <w:p/>
    <w:p/>
    <w:p/>
    <w:p/>
    <w:p/>
    <w:p/>
    <w:p/>
    <w:p/>
    <w:p/>
    <w:p/>
    <w:p/>
    <w:p/>
    <w:p/>
    <w:p/>
    <w:p/>
    <w:p/>
    <w:p/>
    <w:p>
      <w:pPr>
        <w:pStyle w:val="Titre1"/>
      </w:pPr>
      <w:r>
        <w:lastRenderedPageBreak/>
        <w:t>Sous critère n°2 – Moyens techniques (10 pages maxi)</w:t>
      </w:r>
    </w:p>
    <w:p/>
    <w:p>
      <w:r>
        <w:t xml:space="preserve">Le candidat décrit les moyens techniques de mise en œuvre : outillages, appareils de mesures, véhicules, délais de disponibilité des équipements (en propriété ou en location), etc. </w:t>
      </w:r>
    </w:p>
    <w:p/>
    <w:p/>
    <w:p/>
    <w:p/>
    <w:p/>
    <w:p/>
    <w:p/>
    <w:p/>
    <w:p/>
    <w:p/>
    <w:p/>
    <w:p/>
    <w:p/>
    <w:p/>
    <w:p/>
    <w:p/>
    <w:p/>
    <w:p/>
    <w:p/>
    <w:p/>
    <w:p/>
    <w:p/>
    <w:p/>
    <w:p/>
    <w:p/>
    <w:p/>
    <w:p/>
    <w:p/>
    <w:p/>
    <w:p/>
    <w:p/>
    <w:p/>
    <w:p>
      <w:pPr>
        <w:pStyle w:val="Titre1"/>
      </w:pPr>
      <w:r>
        <w:lastRenderedPageBreak/>
        <w:t>Sous critère n°3 : Méthodologie (15 pages maxi)</w:t>
      </w:r>
    </w:p>
    <w:p/>
    <w:p>
      <w:r>
        <w:t>Le candidat décrit la méthodologie d'étude du besoin exprimé par l'établissement, de réalisation et de réception. (Joindre en annexe un exemple de DOE)</w:t>
      </w:r>
    </w:p>
    <w:p/>
    <w:p/>
    <w:p/>
    <w:p/>
    <w:p/>
    <w:p/>
    <w:p/>
    <w:p/>
    <w:p/>
    <w:p/>
    <w:p/>
    <w:p/>
    <w:p/>
    <w:p/>
    <w:p/>
    <w:p/>
    <w:p/>
    <w:p/>
    <w:p/>
    <w:p/>
    <w:p/>
    <w:p/>
    <w:p/>
    <w:p/>
    <w:p/>
    <w:p/>
    <w:p/>
    <w:p/>
    <w:p/>
    <w:p/>
    <w:p/>
    <w:p/>
    <w:p>
      <w:pPr>
        <w:pStyle w:val="Titre1"/>
      </w:pPr>
      <w:r>
        <w:lastRenderedPageBreak/>
        <w:t>Sous critère n°4 – Certification de type « </w:t>
      </w:r>
      <w:proofErr w:type="spellStart"/>
      <w:r>
        <w:t>Qualibat</w:t>
      </w:r>
      <w:proofErr w:type="spellEnd"/>
      <w:r>
        <w:t> »</w:t>
      </w:r>
    </w:p>
    <w:p/>
    <w:p>
      <w:pPr>
        <w:rPr>
          <w:b/>
        </w:rPr>
      </w:pPr>
      <w:r>
        <w:rPr>
          <w:b/>
        </w:rPr>
        <w:t xml:space="preserve">Le candidat résume ses certifications de type « </w:t>
      </w:r>
      <w:proofErr w:type="spellStart"/>
      <w:r>
        <w:rPr>
          <w:b/>
        </w:rPr>
        <w:t>Qualibat</w:t>
      </w:r>
      <w:proofErr w:type="spellEnd"/>
      <w:r>
        <w:rPr>
          <w:b/>
        </w:rPr>
        <w:t xml:space="preserve"> » ou équivalent ci –après. Il annexe ses certifications dans son offre.</w:t>
      </w:r>
    </w:p>
    <w:p>
      <w:pPr>
        <w:rPr>
          <w:b/>
        </w:rPr>
      </w:pPr>
      <w:r>
        <w:rPr>
          <w:b/>
        </w:rPr>
        <w:t>La preuve de la capacité du candidat peut être apportée par tout moyen (certificats de capacité professionnelle délivrée par des clients tiers, références attestant de la compétence de l'opérateur à réaliser la prestation).</w:t>
      </w:r>
    </w:p>
    <w:p>
      <w:r>
        <w:rPr>
          <w:b/>
        </w:rPr>
        <w:t>A défaut de production du certificat de qualification attendue, chaque certificat de qualification pourra faire l’objet d’équivalence à l’appréciation de l'établissement.</w:t>
      </w:r>
    </w:p>
    <w:p/>
    <w:p>
      <w:pPr>
        <w:pStyle w:val="Titre1"/>
      </w:pPr>
      <w:r>
        <w:t xml:space="preserve">Sous critère n°5 – Certification RGE - </w:t>
      </w:r>
    </w:p>
    <w:p/>
    <w:p>
      <w:r>
        <w:t>Le candidat annexe dans son offre son attestation RGE.</w:t>
      </w:r>
    </w:p>
    <w:p/>
    <w:p/>
    <w:p/>
    <w:p/>
    <w:p/>
    <w:p/>
    <w:p/>
    <w:p/>
    <w:p/>
    <w:p/>
    <w:p/>
    <w:p/>
    <w:p/>
    <w:p/>
    <w:p/>
    <w:p/>
    <w:p>
      <w:pPr>
        <w:pStyle w:val="Titre1"/>
      </w:pPr>
      <w:r>
        <w:t xml:space="preserve">Sous critère n°6 – Travaux en sous-section 4 </w:t>
      </w:r>
    </w:p>
    <w:p/>
    <w:p>
      <w:r>
        <w:t>Le candidat annexe dans son offre sa capacité à effectuer des travaux en sous-section 4.</w:t>
      </w:r>
    </w:p>
    <w:p/>
    <w:p/>
    <w:p/>
    <w:p/>
    <w:p>
      <w:bookmarkStart w:id="0" w:name="_GoBack"/>
      <w:bookmarkEnd w:id="0"/>
    </w:p>
    <w:sectPr>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2E1985-4156-4B3D-B908-902DF7838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20" w:line="240" w:lineRule="auto"/>
      <w:jc w:val="both"/>
      <w:textAlignment w:val="baseline"/>
    </w:pPr>
    <w:rPr>
      <w:rFonts w:ascii="Arial Narrow" w:eastAsia="Times New Roman" w:hAnsi="Arial Narrow" w:cs="Arial"/>
      <w:szCs w:val="20"/>
      <w:lang w:eastAsia="fr-FR"/>
    </w:rPr>
  </w:style>
  <w:style w:type="paragraph" w:styleId="Titre1">
    <w:name w:val="heading 1"/>
    <w:basedOn w:val="Normal"/>
    <w:next w:val="Normal"/>
    <w:link w:val="Titre1C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RedTitre">
    <w:name w:val="RedTitre"/>
    <w:basedOn w:val="Normal"/>
    <w:pPr>
      <w:framePr w:hSpace="142" w:wrap="auto" w:vAnchor="text" w:hAnchor="text" w:xAlign="center" w:y="1"/>
      <w:widowControl w:val="0"/>
      <w:overflowPunct/>
      <w:spacing w:after="0"/>
      <w:jc w:val="center"/>
      <w:textAlignment w:val="auto"/>
    </w:pPr>
    <w:rPr>
      <w:rFonts w:ascii="Arial" w:hAnsi="Arial"/>
      <w:b/>
      <w:bCs/>
      <w:szCs w:val="22"/>
    </w:rPr>
  </w:style>
  <w:style w:type="paragraph" w:customStyle="1" w:styleId="RedNomDoc">
    <w:name w:val="RedNomDoc"/>
    <w:basedOn w:val="Normal"/>
    <w:pPr>
      <w:widowControl w:val="0"/>
      <w:overflowPunct/>
      <w:spacing w:after="0"/>
      <w:jc w:val="center"/>
      <w:textAlignment w:val="auto"/>
    </w:pPr>
    <w:rPr>
      <w:rFonts w:ascii="Arial" w:hAnsi="Arial"/>
      <w:b/>
      <w:bCs/>
      <w:sz w:val="30"/>
      <w:szCs w:val="30"/>
    </w:rPr>
  </w:style>
  <w:style w:type="paragraph" w:customStyle="1" w:styleId="RedTitre1">
    <w:name w:val="RedTitre1"/>
    <w:basedOn w:val="Normal"/>
    <w:pPr>
      <w:framePr w:hSpace="142" w:wrap="auto" w:vAnchor="text" w:hAnchor="text" w:xAlign="center" w:y="1"/>
      <w:widowControl w:val="0"/>
      <w:overflowPunct/>
      <w:spacing w:after="0"/>
      <w:jc w:val="center"/>
      <w:textAlignment w:val="auto"/>
    </w:pPr>
    <w:rPr>
      <w:rFonts w:ascii="Arial" w:hAnsi="Arial"/>
      <w:b/>
      <w:bCs/>
      <w:szCs w:val="22"/>
    </w:rPr>
  </w:style>
  <w:style w:type="character" w:customStyle="1" w:styleId="Titre1Car">
    <w:name w:val="Titre 1 Car"/>
    <w:basedOn w:val="Policepardfaut"/>
    <w:link w:val="Titre1"/>
    <w:uiPriority w:val="9"/>
    <w:rPr>
      <w:rFonts w:asciiTheme="majorHAnsi" w:eastAsiaTheme="majorEastAsia" w:hAnsiTheme="majorHAnsi" w:cstheme="majorBidi"/>
      <w:b/>
      <w:bCs/>
      <w:color w:val="365F91" w:themeColor="accent1" w:themeShade="BF"/>
      <w:sz w:val="28"/>
      <w:szCs w:val="28"/>
      <w:lang w:eastAsia="fr-FR"/>
    </w:rPr>
  </w:style>
  <w:style w:type="character" w:customStyle="1" w:styleId="Titre2Car">
    <w:name w:val="Titre 2 Car"/>
    <w:basedOn w:val="Policepardfaut"/>
    <w:link w:val="Titre2"/>
    <w:uiPriority w:val="9"/>
    <w:rPr>
      <w:rFonts w:asciiTheme="majorHAnsi" w:eastAsiaTheme="majorEastAsia" w:hAnsiTheme="majorHAnsi" w:cstheme="majorBidi"/>
      <w:b/>
      <w:bCs/>
      <w:color w:val="4F81BD" w:themeColor="accent1"/>
      <w:sz w:val="26"/>
      <w:szCs w:val="26"/>
      <w:lang w:eastAsia="fr-FR"/>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rPr>
      <w:sz w:val="20"/>
    </w:rPr>
  </w:style>
  <w:style w:type="character" w:customStyle="1" w:styleId="CommentaireCar">
    <w:name w:val="Commentaire Car"/>
    <w:basedOn w:val="Policepardfaut"/>
    <w:link w:val="Commentaire"/>
    <w:uiPriority w:val="99"/>
    <w:semiHidden/>
    <w:rPr>
      <w:rFonts w:ascii="Arial Narrow" w:eastAsia="Times New Roman" w:hAnsi="Arial Narrow" w:cs="Arial"/>
      <w:sz w:val="20"/>
      <w:szCs w:val="20"/>
      <w:lang w:eastAsia="fr-FR"/>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Arial Narrow" w:eastAsia="Times New Roman" w:hAnsi="Arial Narrow" w:cs="Arial"/>
      <w:b/>
      <w:bCs/>
      <w:sz w:val="20"/>
      <w:szCs w:val="20"/>
      <w:lang w:eastAsia="fr-FR"/>
    </w:rPr>
  </w:style>
  <w:style w:type="paragraph" w:styleId="Textedebulles">
    <w:name w:val="Balloon Text"/>
    <w:basedOn w:val="Normal"/>
    <w:link w:val="TextedebullesCar"/>
    <w:uiPriority w:val="99"/>
    <w:semiHidden/>
    <w:unhideWhenUsed/>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337</Words>
  <Characters>1855</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Centre Hospitalier de Versailles</Company>
  <LinksUpToDate>false</LinksUpToDate>
  <CharactersWithSpaces>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MATHIEU Grégoire</dc:creator>
  <cp:lastModifiedBy>BAMBA Fatim</cp:lastModifiedBy>
  <cp:revision>3</cp:revision>
  <dcterms:created xsi:type="dcterms:W3CDTF">2025-06-18T13:59:00Z</dcterms:created>
  <dcterms:modified xsi:type="dcterms:W3CDTF">2025-06-18T14:00:00Z</dcterms:modified>
</cp:coreProperties>
</file>